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DE" w:rsidRDefault="00A67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205DE" w:rsidRDefault="00A205DE">
      <w:pPr>
        <w:jc w:val="center"/>
        <w:rPr>
          <w:sz w:val="28"/>
          <w:szCs w:val="28"/>
        </w:rPr>
      </w:pPr>
    </w:p>
    <w:p w:rsidR="00A205DE" w:rsidRDefault="00A67B4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</w:t>
      </w:r>
      <w:r w:rsidR="00A123D5">
        <w:rPr>
          <w:sz w:val="28"/>
          <w:szCs w:val="28"/>
        </w:rPr>
        <w:t>я Совета депутатов 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 «О внесении изменений в решени</w:t>
      </w:r>
      <w:r w:rsidR="00A123D5">
        <w:rPr>
          <w:sz w:val="28"/>
          <w:szCs w:val="28"/>
        </w:rPr>
        <w:t>е Совета депутатов Филипповского</w:t>
      </w:r>
      <w:r>
        <w:rPr>
          <w:sz w:val="28"/>
          <w:szCs w:val="28"/>
        </w:rPr>
        <w:t xml:space="preserve"> сельсовета Ордынского ра</w:t>
      </w:r>
      <w:r w:rsidR="00A123D5">
        <w:rPr>
          <w:sz w:val="28"/>
          <w:szCs w:val="28"/>
        </w:rPr>
        <w:t>йона Новосибирской области от 28</w:t>
      </w:r>
      <w:r>
        <w:rPr>
          <w:sz w:val="28"/>
          <w:szCs w:val="28"/>
        </w:rPr>
        <w:t>.12.2022</w:t>
      </w:r>
      <w:r w:rsidR="00A123D5">
        <w:rPr>
          <w:sz w:val="28"/>
          <w:szCs w:val="28"/>
        </w:rPr>
        <w:t xml:space="preserve"> г. №1 ««О бюджете 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годов»»</w:t>
      </w:r>
    </w:p>
    <w:p w:rsidR="00A205DE" w:rsidRDefault="00A205DE">
      <w:pPr>
        <w:ind w:firstLine="708"/>
        <w:jc w:val="both"/>
        <w:rPr>
          <w:sz w:val="28"/>
          <w:szCs w:val="28"/>
        </w:rPr>
      </w:pPr>
    </w:p>
    <w:p w:rsidR="00A205DE" w:rsidRDefault="00A67B44">
      <w:pPr>
        <w:ind w:firstLine="709"/>
        <w:jc w:val="both"/>
        <w:rPr>
          <w:sz w:val="28"/>
        </w:rPr>
      </w:pPr>
      <w:r>
        <w:rPr>
          <w:sz w:val="28"/>
          <w:szCs w:val="28"/>
        </w:rPr>
        <w:t>Изменения в решени</w:t>
      </w:r>
      <w:r w:rsidR="00A123D5">
        <w:rPr>
          <w:sz w:val="28"/>
          <w:szCs w:val="28"/>
        </w:rPr>
        <w:t>е Совета депутатов Филипповского</w:t>
      </w:r>
      <w:r>
        <w:rPr>
          <w:sz w:val="28"/>
          <w:szCs w:val="28"/>
        </w:rPr>
        <w:t xml:space="preserve"> сельсовета Ордынского ра</w:t>
      </w:r>
      <w:r w:rsidR="00A123D5">
        <w:rPr>
          <w:sz w:val="28"/>
          <w:szCs w:val="28"/>
        </w:rPr>
        <w:t>йона Новосибирской области от 28</w:t>
      </w:r>
      <w:r>
        <w:rPr>
          <w:sz w:val="28"/>
          <w:szCs w:val="28"/>
        </w:rPr>
        <w:t xml:space="preserve"> декабря 2022 года № 1 «О бюджете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на 2023 год и плановый период 2024 и 2025 годов» обусловлены необходимостью внесения изменения в доходную и расходную части  бюджета, источники финансирования дефицита бюджета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области, перемещения между  разделами, подразделами, целевыми статьями и видами расходов  бюджетов бюджетной классификации Российской Федерации, возникающие при исполнении бюджета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в текущем году, для обеспечения исполнения полномочий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 Новосибирской области. </w:t>
      </w:r>
    </w:p>
    <w:p w:rsidR="00A205DE" w:rsidRPr="00E304BF" w:rsidRDefault="00A67B44" w:rsidP="00CB7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</w:t>
      </w:r>
      <w:r w:rsidR="00A123D5">
        <w:rPr>
          <w:sz w:val="28"/>
          <w:szCs w:val="28"/>
        </w:rPr>
        <w:t>льсовета Ордынского района от 28</w:t>
      </w:r>
      <w:r>
        <w:rPr>
          <w:sz w:val="28"/>
          <w:szCs w:val="28"/>
        </w:rPr>
        <w:t xml:space="preserve"> декабря 2022 года №1 «О бюджете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на 2023 год и плановый период 2024 и 2025 годов» осуществлено в соответствии с «Положением о бюджетном процессе в </w:t>
      </w:r>
      <w:r w:rsidR="00A123D5">
        <w:rPr>
          <w:sz w:val="28"/>
          <w:szCs w:val="28"/>
        </w:rPr>
        <w:t xml:space="preserve">Филипповском </w:t>
      </w:r>
      <w:r>
        <w:rPr>
          <w:sz w:val="28"/>
          <w:szCs w:val="28"/>
        </w:rPr>
        <w:t xml:space="preserve">сельсовете Ордынского района Новосибирской области», принятым решением Совета депутатов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</w:t>
      </w:r>
      <w:r w:rsidRPr="000F6389">
        <w:rPr>
          <w:rFonts w:eastAsia="Calibri"/>
          <w:sz w:val="28"/>
          <w:szCs w:val="28"/>
          <w:lang w:eastAsia="en-US"/>
        </w:rPr>
        <w:t xml:space="preserve">от </w:t>
      </w:r>
      <w:r w:rsidR="004A53C3" w:rsidRPr="000F6389">
        <w:rPr>
          <w:sz w:val="28"/>
          <w:szCs w:val="28"/>
        </w:rPr>
        <w:t>24.12.2021г №3</w:t>
      </w:r>
      <w:r w:rsidRPr="000F6389">
        <w:rPr>
          <w:sz w:val="28"/>
          <w:szCs w:val="28"/>
        </w:rPr>
        <w:t xml:space="preserve"> (с изменениями от </w:t>
      </w:r>
      <w:r w:rsidR="004A53C3" w:rsidRPr="000F6389">
        <w:rPr>
          <w:sz w:val="28"/>
          <w:szCs w:val="28"/>
        </w:rPr>
        <w:t>31.03.2022г</w:t>
      </w:r>
      <w:r w:rsidRPr="000F6389">
        <w:rPr>
          <w:sz w:val="28"/>
          <w:szCs w:val="28"/>
        </w:rPr>
        <w:t xml:space="preserve"> №</w:t>
      </w:r>
      <w:r w:rsidR="004A53C3" w:rsidRPr="000F6389">
        <w:rPr>
          <w:sz w:val="28"/>
          <w:szCs w:val="28"/>
        </w:rPr>
        <w:t>3</w:t>
      </w:r>
      <w:r w:rsidR="009972A7">
        <w:rPr>
          <w:sz w:val="28"/>
          <w:szCs w:val="28"/>
        </w:rPr>
        <w:t xml:space="preserve">, </w:t>
      </w:r>
      <w:r w:rsidR="00CB791B" w:rsidRPr="00E304BF">
        <w:rPr>
          <w:spacing w:val="-1"/>
          <w:sz w:val="28"/>
          <w:szCs w:val="28"/>
        </w:rPr>
        <w:t>от 27.06.2023 №2</w:t>
      </w:r>
      <w:r w:rsidR="00793E91" w:rsidRPr="00E304BF">
        <w:rPr>
          <w:spacing w:val="-1"/>
          <w:sz w:val="28"/>
          <w:szCs w:val="28"/>
        </w:rPr>
        <w:t>, от 31.08.2022 №2</w:t>
      </w:r>
      <w:r w:rsidRPr="00E304BF">
        <w:rPr>
          <w:sz w:val="28"/>
          <w:szCs w:val="28"/>
        </w:rPr>
        <w:t>).</w:t>
      </w:r>
      <w:r w:rsidR="00CB791B" w:rsidRPr="00E304BF">
        <w:rPr>
          <w:spacing w:val="-1"/>
          <w:sz w:val="28"/>
          <w:szCs w:val="28"/>
        </w:rPr>
        <w:t xml:space="preserve"> </w:t>
      </w:r>
    </w:p>
    <w:p w:rsidR="00BB5431" w:rsidRPr="00E304BF" w:rsidRDefault="00BB5431">
      <w:pPr>
        <w:ind w:firstLine="709"/>
        <w:jc w:val="both"/>
        <w:rPr>
          <w:sz w:val="28"/>
          <w:szCs w:val="28"/>
        </w:rPr>
      </w:pPr>
    </w:p>
    <w:p w:rsidR="00BB5431" w:rsidRDefault="00BB5431" w:rsidP="00BB543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Изменение доходов бюджета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Филипповского</w:t>
      </w:r>
      <w:r>
        <w:rPr>
          <w:b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предусматривается изменение основных характеристик бюджета поселения.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Доходную часть бюджета на 2023 год предусмотрено увеличить на </w:t>
      </w:r>
      <w:r w:rsidR="000C3035">
        <w:rPr>
          <w:sz w:val="28"/>
          <w:szCs w:val="28"/>
        </w:rPr>
        <w:t>220</w:t>
      </w:r>
      <w:r>
        <w:rPr>
          <w:sz w:val="28"/>
          <w:szCs w:val="28"/>
        </w:rPr>
        <w:t xml:space="preserve">,0 тыс.руб., в том числе за счет увеличения </w:t>
      </w:r>
      <w:r w:rsidR="000C3035">
        <w:rPr>
          <w:sz w:val="28"/>
          <w:szCs w:val="28"/>
        </w:rPr>
        <w:t>собственных доходов</w:t>
      </w:r>
      <w:r>
        <w:rPr>
          <w:sz w:val="28"/>
          <w:szCs w:val="28"/>
        </w:rPr>
        <w:t xml:space="preserve"> на сумму </w:t>
      </w:r>
      <w:r w:rsidR="000C3035">
        <w:rPr>
          <w:sz w:val="28"/>
          <w:szCs w:val="28"/>
        </w:rPr>
        <w:t>220</w:t>
      </w:r>
      <w:r>
        <w:rPr>
          <w:sz w:val="28"/>
          <w:szCs w:val="28"/>
        </w:rPr>
        <w:t xml:space="preserve">,0 тыс.руб., из них </w:t>
      </w:r>
      <w:r w:rsidR="000C3035">
        <w:rPr>
          <w:sz w:val="28"/>
          <w:szCs w:val="28"/>
        </w:rPr>
        <w:t>продажа земельн</w:t>
      </w:r>
      <w:r w:rsidR="007179FC">
        <w:rPr>
          <w:sz w:val="28"/>
          <w:szCs w:val="28"/>
        </w:rPr>
        <w:t>ых</w:t>
      </w:r>
      <w:r w:rsidR="000C3035">
        <w:rPr>
          <w:sz w:val="28"/>
          <w:szCs w:val="28"/>
        </w:rPr>
        <w:t xml:space="preserve"> участк</w:t>
      </w:r>
      <w:r w:rsidR="007179FC">
        <w:rPr>
          <w:sz w:val="28"/>
          <w:szCs w:val="28"/>
        </w:rPr>
        <w:t>ов</w:t>
      </w:r>
      <w:r>
        <w:rPr>
          <w:sz w:val="28"/>
          <w:szCs w:val="28"/>
        </w:rPr>
        <w:t xml:space="preserve"> на сумму </w:t>
      </w:r>
      <w:r w:rsidR="000C3035">
        <w:rPr>
          <w:sz w:val="28"/>
          <w:szCs w:val="28"/>
        </w:rPr>
        <w:t>220</w:t>
      </w:r>
      <w:r>
        <w:rPr>
          <w:sz w:val="28"/>
          <w:szCs w:val="28"/>
        </w:rPr>
        <w:t>,0 тыс.руб.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объем доходов на 2023 год предусмотрен проектом в </w:t>
      </w:r>
      <w:r w:rsidR="007179FC">
        <w:rPr>
          <w:sz w:val="28"/>
          <w:szCs w:val="28"/>
        </w:rPr>
        <w:t>6128</w:t>
      </w:r>
      <w:r>
        <w:rPr>
          <w:sz w:val="28"/>
          <w:szCs w:val="28"/>
        </w:rPr>
        <w:t>,2 тыс.руб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на плановый период 2024 и 2025 годы предусмотрены без изменений.</w:t>
      </w:r>
    </w:p>
    <w:p w:rsidR="00BB5431" w:rsidRDefault="00BB5431" w:rsidP="00BB5431">
      <w:pPr>
        <w:jc w:val="center"/>
        <w:rPr>
          <w:b/>
          <w:bCs/>
          <w:sz w:val="28"/>
          <w:szCs w:val="28"/>
        </w:rPr>
      </w:pPr>
    </w:p>
    <w:p w:rsidR="00A205DE" w:rsidRDefault="00A205DE">
      <w:pPr>
        <w:ind w:firstLine="709"/>
        <w:jc w:val="both"/>
        <w:rPr>
          <w:color w:val="FF0000"/>
          <w:sz w:val="28"/>
          <w:szCs w:val="28"/>
        </w:rPr>
      </w:pPr>
    </w:p>
    <w:p w:rsidR="00A205DE" w:rsidRDefault="00A205DE">
      <w:pPr>
        <w:jc w:val="center"/>
        <w:rPr>
          <w:b/>
          <w:bCs/>
          <w:sz w:val="28"/>
          <w:szCs w:val="28"/>
        </w:rPr>
      </w:pPr>
    </w:p>
    <w:p w:rsidR="00A205DE" w:rsidRDefault="00A67B4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Изменения по расходам бюджета </w:t>
      </w:r>
      <w:r w:rsidR="00086E92">
        <w:rPr>
          <w:b/>
          <w:sz w:val="28"/>
          <w:szCs w:val="28"/>
        </w:rPr>
        <w:t xml:space="preserve">Филипповского </w:t>
      </w:r>
      <w:r>
        <w:rPr>
          <w:b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Ордынского района Новосибирской области на 2023 год </w:t>
      </w:r>
    </w:p>
    <w:p w:rsidR="00A205DE" w:rsidRDefault="00A205DE">
      <w:pPr>
        <w:rPr>
          <w:sz w:val="28"/>
          <w:szCs w:val="28"/>
        </w:rPr>
      </w:pPr>
    </w:p>
    <w:p w:rsidR="00A205DE" w:rsidRDefault="009C76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Проектом решения объем расходов бюджета на 2023 год предусмотрен в сумме 6</w:t>
      </w:r>
      <w:r w:rsidR="007179FC">
        <w:rPr>
          <w:sz w:val="28"/>
          <w:szCs w:val="28"/>
        </w:rPr>
        <w:t>39</w:t>
      </w:r>
      <w:r>
        <w:rPr>
          <w:sz w:val="28"/>
          <w:szCs w:val="28"/>
        </w:rPr>
        <w:t xml:space="preserve">8,9 тыс.руб., с увеличением к ранее утвержденному объему на </w:t>
      </w:r>
      <w:r w:rsidR="007179FC">
        <w:rPr>
          <w:sz w:val="28"/>
          <w:szCs w:val="28"/>
        </w:rPr>
        <w:t>220</w:t>
      </w:r>
      <w:r>
        <w:rPr>
          <w:sz w:val="28"/>
          <w:szCs w:val="28"/>
        </w:rPr>
        <w:t>,0 тыс.руб</w:t>
      </w:r>
    </w:p>
    <w:p w:rsidR="00A205DE" w:rsidRDefault="00A6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разделу 0100 «Общегосударственные вопросы»</w:t>
      </w:r>
    </w:p>
    <w:p w:rsidR="00A205DE" w:rsidRDefault="00A67B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05DE" w:rsidRDefault="00A67B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данному разделу общий объем расходов предус</w:t>
      </w:r>
      <w:r w:rsidR="00402728">
        <w:rPr>
          <w:sz w:val="28"/>
          <w:szCs w:val="28"/>
        </w:rPr>
        <w:t xml:space="preserve">мотрено увеличить на сумму </w:t>
      </w:r>
      <w:r w:rsidR="00631173">
        <w:rPr>
          <w:sz w:val="28"/>
          <w:szCs w:val="28"/>
        </w:rPr>
        <w:t>67,</w:t>
      </w:r>
      <w:r w:rsidR="006744B2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тыс.руб., в том числе: </w:t>
      </w:r>
    </w:p>
    <w:p w:rsidR="00C44BA1" w:rsidRDefault="00C44BA1">
      <w:pPr>
        <w:ind w:firstLine="708"/>
        <w:rPr>
          <w:sz w:val="28"/>
          <w:szCs w:val="28"/>
        </w:rPr>
      </w:pPr>
    </w:p>
    <w:p w:rsidR="00C44BA1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предусмотрено увеличить бюджетные ассигнования на </w:t>
      </w:r>
      <w:r w:rsidRPr="00D417CD">
        <w:rPr>
          <w:sz w:val="28"/>
          <w:szCs w:val="28"/>
        </w:rPr>
        <w:t xml:space="preserve">сумму </w:t>
      </w:r>
      <w:r w:rsidR="00A0036E">
        <w:rPr>
          <w:sz w:val="28"/>
          <w:szCs w:val="28"/>
        </w:rPr>
        <w:t>67,</w:t>
      </w:r>
      <w:r w:rsidR="00631173">
        <w:rPr>
          <w:sz w:val="28"/>
          <w:szCs w:val="28"/>
        </w:rPr>
        <w:t>8</w:t>
      </w:r>
      <w:r w:rsidRPr="00D417CD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="00402728">
        <w:rPr>
          <w:sz w:val="28"/>
          <w:szCs w:val="28"/>
        </w:rPr>
        <w:t xml:space="preserve">, которые планируется направить </w:t>
      </w:r>
      <w:r>
        <w:rPr>
          <w:sz w:val="28"/>
          <w:szCs w:val="28"/>
        </w:rPr>
        <w:t xml:space="preserve">  на </w:t>
      </w:r>
      <w:r w:rsidR="00A0036E">
        <w:rPr>
          <w:sz w:val="28"/>
          <w:szCs w:val="28"/>
        </w:rPr>
        <w:t>ремонт автомобиля, приобретение  принтера и канц товаров.</w:t>
      </w:r>
    </w:p>
    <w:p w:rsidR="00A205DE" w:rsidRPr="00C44BA1" w:rsidRDefault="00A205DE" w:rsidP="00C44BA1">
      <w:pPr>
        <w:jc w:val="both"/>
        <w:rPr>
          <w:sz w:val="28"/>
          <w:szCs w:val="28"/>
        </w:rPr>
      </w:pPr>
    </w:p>
    <w:p w:rsidR="00A205DE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увеличение осуществлено в пределах установленного норматива на содержание ОМСУ.</w:t>
      </w:r>
    </w:p>
    <w:p w:rsidR="00A205DE" w:rsidRDefault="00A205DE">
      <w:pPr>
        <w:ind w:left="1068"/>
        <w:jc w:val="both"/>
        <w:rPr>
          <w:sz w:val="28"/>
          <w:szCs w:val="28"/>
        </w:rPr>
      </w:pPr>
    </w:p>
    <w:p w:rsidR="00A0036E" w:rsidRPr="00402728" w:rsidRDefault="00A0036E" w:rsidP="00A0036E">
      <w:pPr>
        <w:ind w:left="1068"/>
        <w:jc w:val="center"/>
        <w:rPr>
          <w:b/>
          <w:sz w:val="28"/>
          <w:szCs w:val="28"/>
        </w:rPr>
      </w:pPr>
      <w:r w:rsidRPr="00402728">
        <w:rPr>
          <w:b/>
          <w:sz w:val="28"/>
          <w:szCs w:val="28"/>
        </w:rPr>
        <w:t>По разделу 0300 «Национальная безопасность и правоохранительная деятельность»</w:t>
      </w:r>
    </w:p>
    <w:p w:rsidR="00A0036E" w:rsidRDefault="00A0036E" w:rsidP="00A0036E">
      <w:pPr>
        <w:ind w:left="1068"/>
        <w:jc w:val="center"/>
        <w:rPr>
          <w:b/>
          <w:bCs/>
          <w:sz w:val="28"/>
          <w:szCs w:val="28"/>
        </w:rPr>
      </w:pPr>
    </w:p>
    <w:p w:rsidR="00A0036E" w:rsidRPr="00402728" w:rsidRDefault="00A0036E" w:rsidP="00A0036E">
      <w:pPr>
        <w:ind w:firstLine="708"/>
        <w:jc w:val="both"/>
        <w:rPr>
          <w:bCs/>
          <w:sz w:val="28"/>
          <w:szCs w:val="28"/>
        </w:rPr>
      </w:pPr>
      <w:r w:rsidRPr="00402728">
        <w:rPr>
          <w:bCs/>
          <w:sz w:val="28"/>
          <w:szCs w:val="28"/>
        </w:rPr>
        <w:t>По данному разделу по подразделу 0310 «Защита населения и территории от чрезвычайных ситуаций…»</w:t>
      </w:r>
      <w:r>
        <w:rPr>
          <w:bCs/>
          <w:sz w:val="28"/>
          <w:szCs w:val="28"/>
        </w:rPr>
        <w:t xml:space="preserve"> предусмотрено увеличение бюджетных ассигнований на сумму 13,3 тыс.руб.(приобретение батарее на АДПИ)</w:t>
      </w:r>
    </w:p>
    <w:p w:rsidR="00A0036E" w:rsidRDefault="00A0036E" w:rsidP="00B81368">
      <w:pPr>
        <w:ind w:left="1068"/>
        <w:jc w:val="center"/>
        <w:rPr>
          <w:b/>
          <w:bCs/>
          <w:sz w:val="28"/>
          <w:szCs w:val="28"/>
        </w:rPr>
      </w:pPr>
    </w:p>
    <w:p w:rsidR="00B81368" w:rsidRPr="00B81368" w:rsidRDefault="00B81368">
      <w:pPr>
        <w:ind w:left="1068"/>
        <w:jc w:val="both"/>
        <w:rPr>
          <w:sz w:val="28"/>
          <w:szCs w:val="28"/>
        </w:rPr>
      </w:pPr>
    </w:p>
    <w:p w:rsidR="00A205DE" w:rsidRDefault="00A205DE">
      <w:pPr>
        <w:rPr>
          <w:sz w:val="28"/>
          <w:szCs w:val="28"/>
        </w:rPr>
      </w:pPr>
    </w:p>
    <w:p w:rsidR="00A205DE" w:rsidRDefault="00A6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разделу 0500 «Жилищно-коммунальное хозяйство»</w:t>
      </w:r>
    </w:p>
    <w:p w:rsidR="00A205DE" w:rsidRDefault="00A205DE">
      <w:pPr>
        <w:jc w:val="center"/>
        <w:rPr>
          <w:sz w:val="28"/>
          <w:szCs w:val="28"/>
        </w:rPr>
      </w:pPr>
    </w:p>
    <w:p w:rsidR="00A205DE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на 2023 год проектом предусмотрено у</w:t>
      </w:r>
      <w:r w:rsidR="00A0036E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лимитов бюджетных ассигнов</w:t>
      </w:r>
      <w:r w:rsidR="00116488">
        <w:rPr>
          <w:sz w:val="28"/>
          <w:szCs w:val="28"/>
        </w:rPr>
        <w:t xml:space="preserve">аний в объеме </w:t>
      </w:r>
      <w:r w:rsidR="00A0036E">
        <w:rPr>
          <w:sz w:val="28"/>
          <w:szCs w:val="28"/>
        </w:rPr>
        <w:t>90</w:t>
      </w:r>
      <w:r w:rsidR="009C76E1">
        <w:rPr>
          <w:sz w:val="28"/>
          <w:szCs w:val="28"/>
        </w:rPr>
        <w:t>,</w:t>
      </w:r>
      <w:r w:rsidR="00631173">
        <w:rPr>
          <w:sz w:val="28"/>
          <w:szCs w:val="28"/>
        </w:rPr>
        <w:t>7</w:t>
      </w:r>
      <w:r w:rsidR="00116488">
        <w:rPr>
          <w:sz w:val="28"/>
          <w:szCs w:val="28"/>
        </w:rPr>
        <w:t xml:space="preserve"> тыс.руб.</w:t>
      </w:r>
    </w:p>
    <w:p w:rsidR="00A0036E" w:rsidRDefault="000D506B" w:rsidP="00A00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16488">
        <w:rPr>
          <w:sz w:val="28"/>
          <w:szCs w:val="28"/>
        </w:rPr>
        <w:t>подразделу 0503 «Благоустройство» предусмотрено у</w:t>
      </w:r>
      <w:r w:rsidR="009C76E1">
        <w:rPr>
          <w:sz w:val="28"/>
          <w:szCs w:val="28"/>
        </w:rPr>
        <w:t>меньшение</w:t>
      </w:r>
      <w:r w:rsidR="00116488">
        <w:rPr>
          <w:sz w:val="28"/>
          <w:szCs w:val="28"/>
        </w:rPr>
        <w:t xml:space="preserve"> лимитов бюджетных асси</w:t>
      </w:r>
      <w:r w:rsidR="009C76E1">
        <w:rPr>
          <w:sz w:val="28"/>
          <w:szCs w:val="28"/>
        </w:rPr>
        <w:t xml:space="preserve">гнований в объеме </w:t>
      </w:r>
      <w:r w:rsidR="00A0036E">
        <w:rPr>
          <w:sz w:val="28"/>
          <w:szCs w:val="28"/>
        </w:rPr>
        <w:t>90,7</w:t>
      </w:r>
      <w:r w:rsidR="009C76E1">
        <w:rPr>
          <w:sz w:val="28"/>
          <w:szCs w:val="28"/>
        </w:rPr>
        <w:t xml:space="preserve"> тыс.руб.</w:t>
      </w:r>
      <w:r w:rsidR="00A0036E" w:rsidRPr="00A0036E">
        <w:rPr>
          <w:sz w:val="28"/>
          <w:szCs w:val="28"/>
        </w:rPr>
        <w:t xml:space="preserve"> </w:t>
      </w:r>
      <w:r w:rsidR="00A0036E">
        <w:rPr>
          <w:sz w:val="28"/>
          <w:szCs w:val="28"/>
        </w:rPr>
        <w:t xml:space="preserve">в том увеличить расходы на уличное освещение на 38,3 тыс.руб., на содержание мест захоронения на 9,4 тыс.руб. и на мероприятия по прочему благоустройств на 43,0 тыс.руб. </w:t>
      </w:r>
      <w:r w:rsidR="00A0036E">
        <w:rPr>
          <w:sz w:val="28"/>
          <w:szCs w:val="28"/>
        </w:rPr>
        <w:tab/>
      </w:r>
    </w:p>
    <w:p w:rsidR="009C76E1" w:rsidRDefault="009C76E1">
      <w:pPr>
        <w:ind w:firstLine="708"/>
        <w:jc w:val="both"/>
        <w:rPr>
          <w:sz w:val="28"/>
          <w:szCs w:val="28"/>
        </w:rPr>
      </w:pPr>
    </w:p>
    <w:p w:rsidR="00132AB8" w:rsidRDefault="00132AB8" w:rsidP="00132AB8">
      <w:pPr>
        <w:ind w:firstLine="708"/>
        <w:jc w:val="center"/>
        <w:rPr>
          <w:b/>
          <w:sz w:val="28"/>
          <w:szCs w:val="28"/>
        </w:rPr>
      </w:pPr>
      <w:r w:rsidRPr="000D506B">
        <w:rPr>
          <w:b/>
          <w:sz w:val="28"/>
          <w:szCs w:val="28"/>
        </w:rPr>
        <w:t>По разделу 0800 «Культура, кинематография»</w:t>
      </w:r>
    </w:p>
    <w:p w:rsidR="00132AB8" w:rsidRPr="000D506B" w:rsidRDefault="00132AB8" w:rsidP="00132AB8">
      <w:pPr>
        <w:ind w:firstLine="708"/>
        <w:jc w:val="both"/>
        <w:rPr>
          <w:sz w:val="28"/>
          <w:szCs w:val="28"/>
        </w:rPr>
      </w:pPr>
      <w:r w:rsidRPr="000D506B">
        <w:rPr>
          <w:sz w:val="28"/>
          <w:szCs w:val="28"/>
        </w:rPr>
        <w:t xml:space="preserve">По данному разделу по подразделу 0801 «Культура» предусмотрено увеличение лимитов бюджетных ассигнований на сумму </w:t>
      </w:r>
      <w:r w:rsidR="00EC0794">
        <w:rPr>
          <w:sz w:val="28"/>
          <w:szCs w:val="28"/>
        </w:rPr>
        <w:t>44,7</w:t>
      </w:r>
      <w:r w:rsidRPr="000D506B">
        <w:rPr>
          <w:sz w:val="28"/>
          <w:szCs w:val="28"/>
        </w:rPr>
        <w:t xml:space="preserve"> тыс.руб., которые планируется направить </w:t>
      </w:r>
      <w:r w:rsidRPr="00EC0794">
        <w:rPr>
          <w:sz w:val="28"/>
          <w:szCs w:val="28"/>
        </w:rPr>
        <w:t>на</w:t>
      </w:r>
      <w:r w:rsidR="00EC0794">
        <w:rPr>
          <w:sz w:val="28"/>
          <w:szCs w:val="28"/>
        </w:rPr>
        <w:t xml:space="preserve"> оплату проведения Дня пожилых людей и приобретение сувениров.</w:t>
      </w:r>
    </w:p>
    <w:p w:rsidR="00132AB8" w:rsidRDefault="00132AB8" w:rsidP="00132AB8">
      <w:pPr>
        <w:ind w:firstLine="708"/>
        <w:jc w:val="both"/>
        <w:rPr>
          <w:sz w:val="28"/>
          <w:szCs w:val="28"/>
        </w:rPr>
      </w:pPr>
    </w:p>
    <w:p w:rsidR="00EC0794" w:rsidRDefault="00EC0794" w:rsidP="00EC0794">
      <w:pPr>
        <w:ind w:firstLine="708"/>
        <w:jc w:val="center"/>
        <w:rPr>
          <w:b/>
          <w:sz w:val="28"/>
          <w:szCs w:val="28"/>
        </w:rPr>
      </w:pPr>
      <w:r w:rsidRPr="000D506B">
        <w:rPr>
          <w:b/>
          <w:sz w:val="28"/>
          <w:szCs w:val="28"/>
        </w:rPr>
        <w:t>По разделу 1100 «Физическая культура и спорт»</w:t>
      </w:r>
    </w:p>
    <w:p w:rsidR="00EC0794" w:rsidRDefault="00EC0794" w:rsidP="00EC0794">
      <w:pPr>
        <w:ind w:firstLine="708"/>
        <w:jc w:val="both"/>
        <w:rPr>
          <w:sz w:val="28"/>
          <w:szCs w:val="28"/>
        </w:rPr>
      </w:pPr>
    </w:p>
    <w:p w:rsidR="00EC0794" w:rsidRPr="000D506B" w:rsidRDefault="00EC0794" w:rsidP="00EC0794">
      <w:pPr>
        <w:ind w:firstLine="708"/>
        <w:jc w:val="both"/>
        <w:rPr>
          <w:sz w:val="28"/>
          <w:szCs w:val="28"/>
        </w:rPr>
      </w:pPr>
      <w:r w:rsidRPr="000D506B">
        <w:rPr>
          <w:sz w:val="28"/>
          <w:szCs w:val="28"/>
        </w:rPr>
        <w:t xml:space="preserve">По данному разделу по подразделу </w:t>
      </w:r>
      <w:r>
        <w:rPr>
          <w:sz w:val="28"/>
          <w:szCs w:val="28"/>
        </w:rPr>
        <w:t>1</w:t>
      </w:r>
      <w:r w:rsidRPr="000D506B">
        <w:rPr>
          <w:sz w:val="28"/>
          <w:szCs w:val="28"/>
        </w:rPr>
        <w:t xml:space="preserve">105 «Другие вопросы в области физической культуры и спорта» бюджетные ассигнования увеличены на сумму </w:t>
      </w:r>
      <w:r>
        <w:rPr>
          <w:sz w:val="28"/>
          <w:szCs w:val="28"/>
        </w:rPr>
        <w:t>3,5</w:t>
      </w:r>
      <w:r w:rsidRPr="000D506B">
        <w:rPr>
          <w:sz w:val="28"/>
          <w:szCs w:val="28"/>
        </w:rPr>
        <w:t xml:space="preserve"> тыс.руб. </w:t>
      </w:r>
      <w:r w:rsidRPr="00EC0794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 сметы по строительству волейбольной площадки.</w:t>
      </w:r>
    </w:p>
    <w:p w:rsidR="000D506B" w:rsidRDefault="000D506B">
      <w:pPr>
        <w:ind w:firstLine="708"/>
        <w:jc w:val="both"/>
        <w:rPr>
          <w:sz w:val="28"/>
          <w:szCs w:val="28"/>
        </w:rPr>
      </w:pPr>
    </w:p>
    <w:p w:rsidR="00A205DE" w:rsidRDefault="00A205DE">
      <w:pPr>
        <w:jc w:val="both"/>
        <w:rPr>
          <w:sz w:val="28"/>
          <w:szCs w:val="28"/>
        </w:rPr>
      </w:pPr>
    </w:p>
    <w:p w:rsidR="00A205DE" w:rsidRDefault="000D50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</w:t>
      </w:r>
      <w:r w:rsidR="00A67B44">
        <w:rPr>
          <w:sz w:val="28"/>
          <w:szCs w:val="28"/>
        </w:rPr>
        <w:t xml:space="preserve"> сельсовета</w:t>
      </w:r>
    </w:p>
    <w:p w:rsidR="00A205DE" w:rsidRDefault="00A67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A205DE" w:rsidRDefault="00A67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r w:rsidR="000D506B">
        <w:rPr>
          <w:sz w:val="28"/>
          <w:szCs w:val="28"/>
        </w:rPr>
        <w:t xml:space="preserve">                           А.М.Губкин</w:t>
      </w:r>
    </w:p>
    <w:sectPr w:rsidR="00A205DE">
      <w:pgSz w:w="11906" w:h="16838"/>
      <w:pgMar w:top="540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6F" w:rsidRDefault="00A9086F">
      <w:r>
        <w:separator/>
      </w:r>
    </w:p>
  </w:endnote>
  <w:endnote w:type="continuationSeparator" w:id="0">
    <w:p w:rsidR="00A9086F" w:rsidRDefault="00A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6F" w:rsidRDefault="00A9086F">
      <w:r>
        <w:separator/>
      </w:r>
    </w:p>
  </w:footnote>
  <w:footnote w:type="continuationSeparator" w:id="0">
    <w:p w:rsidR="00A9086F" w:rsidRDefault="00A9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E"/>
    <w:rsid w:val="0002566E"/>
    <w:rsid w:val="00086E92"/>
    <w:rsid w:val="000C3035"/>
    <w:rsid w:val="000D506B"/>
    <w:rsid w:val="000F6389"/>
    <w:rsid w:val="00116488"/>
    <w:rsid w:val="00132AB8"/>
    <w:rsid w:val="0013595A"/>
    <w:rsid w:val="001664B6"/>
    <w:rsid w:val="00280CEC"/>
    <w:rsid w:val="003F32C1"/>
    <w:rsid w:val="00402728"/>
    <w:rsid w:val="004A53C3"/>
    <w:rsid w:val="005741B0"/>
    <w:rsid w:val="005A07A5"/>
    <w:rsid w:val="00631173"/>
    <w:rsid w:val="00654C0B"/>
    <w:rsid w:val="006744B2"/>
    <w:rsid w:val="006E003B"/>
    <w:rsid w:val="00716F2C"/>
    <w:rsid w:val="007179FC"/>
    <w:rsid w:val="00793E91"/>
    <w:rsid w:val="00854C0F"/>
    <w:rsid w:val="009972A7"/>
    <w:rsid w:val="009C76E1"/>
    <w:rsid w:val="00A0036E"/>
    <w:rsid w:val="00A123D5"/>
    <w:rsid w:val="00A205DE"/>
    <w:rsid w:val="00A22DBA"/>
    <w:rsid w:val="00A67B44"/>
    <w:rsid w:val="00A9086F"/>
    <w:rsid w:val="00AA4764"/>
    <w:rsid w:val="00B81368"/>
    <w:rsid w:val="00BB5431"/>
    <w:rsid w:val="00C44BA1"/>
    <w:rsid w:val="00CB791B"/>
    <w:rsid w:val="00D417CD"/>
    <w:rsid w:val="00E304BF"/>
    <w:rsid w:val="00EC0794"/>
    <w:rsid w:val="00E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5439-07DC-4488-BF13-12AA060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Стиль1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fb">
    <w:name w:val="Balloon Text"/>
    <w:basedOn w:val="a"/>
    <w:link w:val="af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c">
    <w:name w:val="Текст выноски Знак"/>
    <w:link w:val="afb"/>
    <w:rPr>
      <w:rFonts w:ascii="Tahoma" w:eastAsia="MS Mincho" w:hAnsi="Tahoma" w:cs="Tahoma"/>
      <w:sz w:val="16"/>
      <w:szCs w:val="16"/>
      <w:lang w:val="ru-RU" w:eastAsia="ja-JP" w:bidi="ar-SA"/>
    </w:rPr>
  </w:style>
  <w:style w:type="paragraph" w:styleId="afd">
    <w:name w:val="Normal (Web)"/>
    <w:basedOn w:val="a"/>
    <w:pPr>
      <w:spacing w:before="240" w:after="240"/>
    </w:pPr>
  </w:style>
  <w:style w:type="character" w:customStyle="1" w:styleId="ad">
    <w:name w:val="Верхний колонтитул Знак"/>
    <w:link w:val="ac"/>
    <w:rPr>
      <w:sz w:val="24"/>
    </w:rPr>
  </w:style>
  <w:style w:type="character" w:customStyle="1" w:styleId="a5">
    <w:name w:val="Без интервала Знак"/>
    <w:link w:val="a4"/>
    <w:rPr>
      <w:sz w:val="24"/>
      <w:szCs w:val="24"/>
      <w:lang w:bidi="ar-SA"/>
    </w:rPr>
  </w:style>
  <w:style w:type="paragraph" w:customStyle="1" w:styleId="afe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f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№ 1</vt:lpstr>
    </vt:vector>
  </TitlesOfParts>
  <Company>DeepTown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№ 1</dc:title>
  <dc:creator>+__+</dc:creator>
  <cp:lastModifiedBy>user</cp:lastModifiedBy>
  <cp:revision>26</cp:revision>
  <dcterms:created xsi:type="dcterms:W3CDTF">2023-04-27T01:58:00Z</dcterms:created>
  <dcterms:modified xsi:type="dcterms:W3CDTF">2023-11-08T07:43:00Z</dcterms:modified>
  <cp:version>917504</cp:version>
</cp:coreProperties>
</file>